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193B2C" w:rsidP="277FB8FD" w:rsidRDefault="3775DBF4" w14:paraId="6CB8A968" w14:textId="5B7AC0AD">
      <w:pPr>
        <w:spacing w:after="240"/>
        <w:jc w:val="center"/>
        <w:rPr>
          <w:rFonts w:ascii="Times New Roman" w:hAnsi="Times New Roman" w:eastAsia="Times New Roman" w:cs="Times New Roman"/>
          <w:color w:val="002060"/>
          <w:sz w:val="28"/>
          <w:szCs w:val="28"/>
        </w:rPr>
      </w:pPr>
      <w:r w:rsidR="3775DBF4">
        <w:drawing>
          <wp:inline wp14:editId="50570D7F" wp14:anchorId="2E41D277">
            <wp:extent cx="5943600" cy="1581150"/>
            <wp:effectExtent l="0" t="0" r="0" b="0"/>
            <wp:docPr id="564453517"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564453517" name=""/>
                    <pic:cNvPicPr/>
                  </pic:nvPicPr>
                  <pic:blipFill>
                    <a:blip xmlns:r="http://schemas.openxmlformats.org/officeDocument/2006/relationships" r:embed="rId7">
                      <a:extLst>
                        <a:ext uri="{28A0092B-C50C-407E-A947-70E740481C1C}">
                          <a14:useLocalDpi xmlns:a14="http://schemas.microsoft.com/office/drawing/2010/main" val="0"/>
                        </a:ext>
                      </a:extLst>
                    </a:blip>
                    <a:stretch>
                      <a:fillRect/>
                    </a:stretch>
                  </pic:blipFill>
                  <pic:spPr>
                    <a:xfrm>
                      <a:off x="0" y="0"/>
                      <a:ext cx="5943600" cy="1581150"/>
                    </a:xfrm>
                    <a:prstGeom prst="rect">
                      <a:avLst/>
                    </a:prstGeom>
                  </pic:spPr>
                </pic:pic>
              </a:graphicData>
            </a:graphic>
          </wp:inline>
        </w:drawing>
      </w:r>
      <w:r w:rsidRPr="277FB8FD" w:rsidR="3775DBF4">
        <w:rPr>
          <w:rFonts w:ascii="Times New Roman" w:hAnsi="Times New Roman" w:eastAsia="Times New Roman" w:cs="Times New Roman"/>
          <w:b w:val="1"/>
          <w:bCs w:val="1"/>
          <w:color w:val="000000" w:themeColor="text1" w:themeTint="FF" w:themeShade="FF"/>
          <w:sz w:val="28"/>
          <w:szCs w:val="28"/>
        </w:rPr>
        <w:t xml:space="preserve">  </w:t>
      </w:r>
    </w:p>
    <w:p w:rsidR="00193B2C" w:rsidP="277FB8FD" w:rsidRDefault="3775DBF4" w14:paraId="4F1839D7" w14:textId="5CAE8798">
      <w:pPr>
        <w:spacing w:after="240"/>
        <w:jc w:val="left"/>
        <w:rPr>
          <w:rFonts w:ascii="Times New Roman" w:hAnsi="Times New Roman" w:eastAsia="Times New Roman" w:cs="Times New Roman"/>
          <w:color w:val="002060"/>
          <w:sz w:val="28"/>
          <w:szCs w:val="28"/>
        </w:rPr>
      </w:pPr>
      <w:r w:rsidRPr="277FB8FD" w:rsidR="3775DBF4">
        <w:rPr>
          <w:rFonts w:ascii="Times New Roman" w:hAnsi="Times New Roman" w:eastAsia="Times New Roman" w:cs="Times New Roman"/>
          <w:b w:val="1"/>
          <w:bCs w:val="1"/>
          <w:color w:val="002060"/>
          <w:sz w:val="28"/>
          <w:szCs w:val="28"/>
        </w:rPr>
        <w:t>BACKGROUND:</w:t>
      </w:r>
    </w:p>
    <w:p w:rsidR="00193B2C" w:rsidP="3B2478DA" w:rsidRDefault="3775DBF4" w14:paraId="57D08D15" w14:textId="31BB44FE">
      <w:pPr>
        <w:shd w:val="clear" w:color="auto" w:fill="FFFFFF" w:themeFill="background1"/>
        <w:spacing w:after="0"/>
        <w:rPr>
          <w:rFonts w:ascii="Times New Roman" w:hAnsi="Times New Roman" w:eastAsia="Times New Roman" w:cs="Times New Roman"/>
          <w:color w:val="000000" w:themeColor="text1"/>
          <w:sz w:val="28"/>
          <w:szCs w:val="28"/>
        </w:rPr>
      </w:pPr>
      <w:r w:rsidRPr="3B2478DA">
        <w:rPr>
          <w:rFonts w:ascii="Times New Roman" w:hAnsi="Times New Roman" w:eastAsia="Times New Roman" w:cs="Times New Roman"/>
          <w:color w:val="000000" w:themeColor="text1"/>
          <w:sz w:val="28"/>
          <w:szCs w:val="28"/>
        </w:rPr>
        <w:t>As part of the National Defense Authorization Act (NDAA), the Bureau of Consular Affairs is instructed to “develop messaging and informational guidance to be delivered at all United States international airports and on relevant United States Government websites warning United States nationals of the risks of wrongful or unlawful detention or hostage-taking in covered [D or K indicator] countries.”</w:t>
      </w:r>
    </w:p>
    <w:p w:rsidR="00193B2C" w:rsidP="3B2478DA" w:rsidRDefault="00193B2C" w14:paraId="3CA07700" w14:textId="51DE5845">
      <w:pPr>
        <w:shd w:val="clear" w:color="auto" w:fill="FFFFFF" w:themeFill="background1"/>
        <w:spacing w:after="0"/>
        <w:rPr>
          <w:rFonts w:ascii="Times New Roman" w:hAnsi="Times New Roman" w:eastAsia="Times New Roman" w:cs="Times New Roman"/>
          <w:color w:val="000000" w:themeColor="text1"/>
          <w:sz w:val="28"/>
          <w:szCs w:val="28"/>
        </w:rPr>
      </w:pPr>
    </w:p>
    <w:p w:rsidR="00193B2C" w:rsidP="3B2478DA" w:rsidRDefault="3775DBF4" w14:paraId="63E8C0EC" w14:textId="27F26FBE">
      <w:pPr>
        <w:shd w:val="clear" w:color="auto" w:fill="FFFFFF" w:themeFill="background1"/>
        <w:spacing w:after="0"/>
        <w:rPr>
          <w:rFonts w:ascii="Times New Roman" w:hAnsi="Times New Roman" w:eastAsia="Times New Roman" w:cs="Times New Roman"/>
          <w:color w:val="000000" w:themeColor="text1"/>
          <w:sz w:val="28"/>
          <w:szCs w:val="28"/>
        </w:rPr>
      </w:pPr>
      <w:r w:rsidRPr="3B2478DA">
        <w:rPr>
          <w:rFonts w:ascii="Times New Roman" w:hAnsi="Times New Roman" w:eastAsia="Times New Roman" w:cs="Times New Roman"/>
          <w:color w:val="000000" w:themeColor="text1"/>
          <w:sz w:val="28"/>
          <w:szCs w:val="28"/>
        </w:rPr>
        <w:t xml:space="preserve">This toolkit is provided by the Bureau of Consular Affairs within the U.S. Department of State.  It contains digital and print content for travel industry partners and others to use to warn Americans about the risk of traveling to countries for which the State Department has assigned a Level 4 Travel Advisory, meaning </w:t>
      </w:r>
      <w:r w:rsidRPr="3B2478DA">
        <w:rPr>
          <w:rFonts w:ascii="Times New Roman" w:hAnsi="Times New Roman" w:eastAsia="Times New Roman" w:cs="Times New Roman"/>
          <w:b/>
          <w:bCs/>
          <w:color w:val="000000" w:themeColor="text1"/>
          <w:sz w:val="28"/>
          <w:szCs w:val="28"/>
        </w:rPr>
        <w:t>Do Not Travel</w:t>
      </w:r>
      <w:r w:rsidRPr="3B2478DA">
        <w:rPr>
          <w:rFonts w:ascii="Times New Roman" w:hAnsi="Times New Roman" w:eastAsia="Times New Roman" w:cs="Times New Roman"/>
          <w:color w:val="000000" w:themeColor="text1"/>
          <w:sz w:val="28"/>
          <w:szCs w:val="28"/>
        </w:rPr>
        <w:t xml:space="preserve">. It also contains content warning against travel to countries for which the State Department Travel Advisory includes a K or D indicator because U.S. nationals face a higher risk of wrongful detention, kidnapping or hostage-taking. </w:t>
      </w:r>
    </w:p>
    <w:p w:rsidR="00193B2C" w:rsidP="3B2478DA" w:rsidRDefault="3775DBF4" w14:paraId="1F9742D5" w14:textId="64933AE8">
      <w:pPr>
        <w:shd w:val="clear" w:color="auto" w:fill="FFFFFF" w:themeFill="background1"/>
        <w:spacing w:before="240" w:after="240"/>
        <w:rPr>
          <w:rFonts w:ascii="Times New Roman" w:hAnsi="Times New Roman" w:eastAsia="Times New Roman" w:cs="Times New Roman"/>
          <w:color w:val="000000" w:themeColor="text1"/>
          <w:sz w:val="28"/>
          <w:szCs w:val="28"/>
        </w:rPr>
      </w:pPr>
      <w:r w:rsidRPr="3B2478DA">
        <w:rPr>
          <w:rFonts w:ascii="Times New Roman" w:hAnsi="Times New Roman" w:eastAsia="Times New Roman" w:cs="Times New Roman"/>
          <w:color w:val="000000" w:themeColor="text1"/>
          <w:sz w:val="28"/>
          <w:szCs w:val="28"/>
        </w:rPr>
        <w:t xml:space="preserve">The materials in this toolkit can be used on partners’ owned media channels including website, social media, e-mail and direct mail; as well as in physical locations such as checkpoints, facility entrances, and waiting rooms. We invite partners to proactively inform Americans about the real risk of traveling to Level 4 and K, D indicator countries. </w:t>
      </w:r>
    </w:p>
    <w:p w:rsidR="00193B2C" w:rsidP="3B2478DA" w:rsidRDefault="3775DBF4" w14:paraId="1B982E72" w14:textId="3EBB0F57">
      <w:pPr>
        <w:shd w:val="clear" w:color="auto" w:fill="FFFFFF" w:themeFill="background1"/>
        <w:spacing w:before="240" w:after="240"/>
        <w:rPr>
          <w:rFonts w:ascii="Times New Roman" w:hAnsi="Times New Roman" w:eastAsia="Times New Roman" w:cs="Times New Roman"/>
          <w:color w:val="080808"/>
          <w:sz w:val="28"/>
          <w:szCs w:val="28"/>
        </w:rPr>
      </w:pPr>
      <w:r w:rsidRPr="3B2478DA">
        <w:rPr>
          <w:rFonts w:ascii="Times New Roman" w:hAnsi="Times New Roman" w:eastAsia="Times New Roman" w:cs="Times New Roman"/>
          <w:color w:val="080808"/>
          <w:sz w:val="28"/>
          <w:szCs w:val="28"/>
        </w:rPr>
        <w:t xml:space="preserve">Requests for additional file formats can be submitted by e-mail to </w:t>
      </w:r>
      <w:hyperlink r:id="rId8">
        <w:r w:rsidRPr="3B2478DA">
          <w:rPr>
            <w:rStyle w:val="Hyperlink"/>
            <w:rFonts w:ascii="Times New Roman" w:hAnsi="Times New Roman" w:eastAsia="Times New Roman" w:cs="Times New Roman"/>
            <w:sz w:val="28"/>
            <w:szCs w:val="28"/>
          </w:rPr>
          <w:t>CA-P-Outreach@state.gov</w:t>
        </w:r>
      </w:hyperlink>
      <w:r w:rsidRPr="3B2478DA">
        <w:rPr>
          <w:rFonts w:ascii="Times New Roman" w:hAnsi="Times New Roman" w:eastAsia="Times New Roman" w:cs="Times New Roman"/>
          <w:color w:val="080808"/>
          <w:sz w:val="28"/>
          <w:szCs w:val="28"/>
        </w:rPr>
        <w:t>.</w:t>
      </w:r>
    </w:p>
    <w:p w:rsidR="00193B2C" w:rsidP="3B2478DA" w:rsidRDefault="3775DBF4" w14:paraId="1A358F95" w14:textId="43B0EE47">
      <w:pPr>
        <w:shd w:val="clear" w:color="auto" w:fill="FFFFFF" w:themeFill="background1"/>
        <w:spacing w:before="240" w:after="240"/>
        <w:rPr>
          <w:rFonts w:ascii="Times New Roman" w:hAnsi="Times New Roman" w:eastAsia="Times New Roman" w:cs="Times New Roman"/>
          <w:color w:val="002060"/>
          <w:sz w:val="28"/>
          <w:szCs w:val="28"/>
        </w:rPr>
      </w:pPr>
      <w:r w:rsidRPr="3B2478DA">
        <w:rPr>
          <w:rFonts w:ascii="Times New Roman" w:hAnsi="Times New Roman" w:eastAsia="Times New Roman" w:cs="Times New Roman"/>
          <w:b/>
          <w:bCs/>
          <w:color w:val="002060"/>
          <w:sz w:val="28"/>
          <w:szCs w:val="28"/>
        </w:rPr>
        <w:t>Print Materials</w:t>
      </w:r>
    </w:p>
    <w:p w:rsidR="00193B2C" w:rsidP="3B2478DA" w:rsidRDefault="3775DBF4" w14:paraId="3F8BB59B" w14:textId="2340FABC">
      <w:pPr>
        <w:shd w:val="clear" w:color="auto" w:fill="FFFFFF" w:themeFill="background1"/>
        <w:spacing w:before="240" w:after="240"/>
        <w:rPr>
          <w:rFonts w:ascii="Times New Roman" w:hAnsi="Times New Roman" w:eastAsia="Times New Roman" w:cs="Times New Roman"/>
          <w:color w:val="080808"/>
          <w:sz w:val="28"/>
          <w:szCs w:val="28"/>
        </w:rPr>
      </w:pPr>
      <w:r w:rsidRPr="3B2478DA">
        <w:rPr>
          <w:rFonts w:ascii="Times New Roman" w:hAnsi="Times New Roman" w:eastAsia="Times New Roman" w:cs="Times New Roman"/>
          <w:color w:val="080808"/>
          <w:sz w:val="28"/>
          <w:szCs w:val="28"/>
        </w:rPr>
        <w:t>The toolkit provides signage that can be printed or distributed electronically by government and industry partners.</w:t>
      </w:r>
    </w:p>
    <w:p w:rsidR="00193B2C" w:rsidP="3B2478DA" w:rsidRDefault="3775DBF4" w14:paraId="61159E79" w14:textId="0E67DA21">
      <w:pPr>
        <w:shd w:val="clear" w:color="auto" w:fill="FFFFFF" w:themeFill="background1"/>
        <w:spacing w:before="240" w:after="240"/>
        <w:rPr>
          <w:rFonts w:ascii="Times New Roman" w:hAnsi="Times New Roman" w:eastAsia="Times New Roman" w:cs="Times New Roman"/>
          <w:color w:val="002060"/>
          <w:sz w:val="28"/>
          <w:szCs w:val="28"/>
        </w:rPr>
      </w:pPr>
      <w:r w:rsidRPr="3B2478DA">
        <w:rPr>
          <w:rFonts w:ascii="Times New Roman" w:hAnsi="Times New Roman" w:eastAsia="Times New Roman" w:cs="Times New Roman"/>
          <w:b/>
          <w:bCs/>
          <w:color w:val="002060"/>
          <w:sz w:val="28"/>
          <w:szCs w:val="28"/>
        </w:rPr>
        <w:t>Digital Media Toolkit</w:t>
      </w:r>
    </w:p>
    <w:p w:rsidR="00193B2C" w:rsidP="3B2478DA" w:rsidRDefault="3775DBF4" w14:paraId="36F0DDF7" w14:textId="73F17632">
      <w:pPr>
        <w:shd w:val="clear" w:color="auto" w:fill="FFFFFF" w:themeFill="background1"/>
        <w:spacing w:before="240" w:after="240"/>
        <w:rPr>
          <w:rFonts w:ascii="Times New Roman" w:hAnsi="Times New Roman" w:eastAsia="Times New Roman" w:cs="Times New Roman"/>
          <w:color w:val="080808"/>
          <w:sz w:val="28"/>
          <w:szCs w:val="28"/>
        </w:rPr>
      </w:pPr>
      <w:r w:rsidRPr="3B2478DA">
        <w:rPr>
          <w:rFonts w:ascii="Times New Roman" w:hAnsi="Times New Roman" w:eastAsia="Times New Roman" w:cs="Times New Roman"/>
          <w:color w:val="080808"/>
          <w:sz w:val="28"/>
          <w:szCs w:val="28"/>
        </w:rPr>
        <w:t xml:space="preserve">The toolkit offers digital media content that can be leveraged to drive awareness and action for preventing travel to countries with Level 4 Do Not Travel advisories, as well as those with K and D indicators indicating </w:t>
      </w:r>
      <w:r w:rsidRPr="3B2478DA">
        <w:rPr>
          <w:rFonts w:ascii="Times New Roman" w:hAnsi="Times New Roman" w:eastAsia="Times New Roman" w:cs="Times New Roman"/>
          <w:color w:val="000000" w:themeColor="text1"/>
          <w:sz w:val="28"/>
          <w:szCs w:val="28"/>
        </w:rPr>
        <w:t>a higher risk of wrongful detention, kidnapping or hostage-taking.</w:t>
      </w:r>
      <w:r w:rsidRPr="3B2478DA">
        <w:rPr>
          <w:rFonts w:ascii="Times New Roman" w:hAnsi="Times New Roman" w:eastAsia="Times New Roman" w:cs="Times New Roman"/>
          <w:color w:val="080808"/>
          <w:sz w:val="28"/>
          <w:szCs w:val="28"/>
        </w:rPr>
        <w:t xml:space="preserve"> The toolkit includes banner ads that can be used on partner websites and in customer e-mails.</w:t>
      </w:r>
    </w:p>
    <w:p w:rsidR="00193B2C" w:rsidP="3B2478DA" w:rsidRDefault="3775DBF4" w14:paraId="2CAD3668" w14:textId="0FF3C025">
      <w:pPr>
        <w:shd w:val="clear" w:color="auto" w:fill="FFFFFF" w:themeFill="background1"/>
        <w:spacing w:before="240" w:after="240"/>
        <w:rPr>
          <w:rFonts w:ascii="Times New Roman" w:hAnsi="Times New Roman" w:eastAsia="Times New Roman" w:cs="Times New Roman"/>
          <w:color w:val="080808"/>
          <w:sz w:val="28"/>
          <w:szCs w:val="28"/>
        </w:rPr>
      </w:pPr>
      <w:r w:rsidRPr="3B2478DA">
        <w:rPr>
          <w:rFonts w:ascii="Times New Roman" w:hAnsi="Times New Roman" w:eastAsia="Times New Roman" w:cs="Times New Roman"/>
          <w:color w:val="080808"/>
          <w:sz w:val="28"/>
          <w:szCs w:val="28"/>
        </w:rPr>
        <w:t>Some of the example graphics are below:</w:t>
      </w:r>
    </w:p>
    <w:p w:rsidR="00193B2C" w:rsidP="3B2478DA" w:rsidRDefault="3775DBF4" w14:paraId="613225AF" w14:textId="7CC7462C">
      <w:pPr>
        <w:shd w:val="clear" w:color="auto" w:fill="FFFFFF" w:themeFill="background1"/>
        <w:spacing w:before="240" w:after="240"/>
        <w:rPr>
          <w:rFonts w:ascii="Calibri" w:hAnsi="Calibri" w:eastAsia="Calibri" w:cs="Calibri"/>
          <w:color w:val="000000" w:themeColor="text1"/>
          <w:sz w:val="22"/>
          <w:szCs w:val="22"/>
        </w:rPr>
      </w:pPr>
      <w:r>
        <w:rPr>
          <w:noProof/>
        </w:rPr>
        <w:drawing>
          <wp:inline distT="0" distB="0" distL="0" distR="0" wp14:anchorId="16D0728E" wp14:editId="280D73C8">
            <wp:extent cx="5943600" cy="3343275"/>
            <wp:effectExtent l="0" t="0" r="0" b="0"/>
            <wp:docPr id="176492774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927748" name=""/>
                    <pic:cNvPicPr/>
                  </pic:nvPicPr>
                  <pic:blipFill>
                    <a:blip r:embed="rId9">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193B2C" w:rsidP="3B2478DA" w:rsidRDefault="00193B2C" w14:paraId="36927E30" w14:textId="3D3DB67A">
      <w:pPr>
        <w:shd w:val="clear" w:color="auto" w:fill="FFFFFF" w:themeFill="background1"/>
        <w:spacing w:before="240" w:after="240"/>
        <w:rPr>
          <w:rFonts w:ascii="Calibri" w:hAnsi="Calibri" w:eastAsia="Calibri" w:cs="Calibri"/>
          <w:color w:val="000000" w:themeColor="text1"/>
          <w:sz w:val="22"/>
          <w:szCs w:val="22"/>
        </w:rPr>
      </w:pPr>
    </w:p>
    <w:p w:rsidR="00193B2C" w:rsidP="3B2478DA" w:rsidRDefault="00193B2C" w14:paraId="70FF1080" w14:textId="0B3288A1">
      <w:pPr>
        <w:shd w:val="clear" w:color="auto" w:fill="FFFFFF" w:themeFill="background1"/>
        <w:spacing w:before="240" w:after="240"/>
        <w:rPr>
          <w:rFonts w:ascii="Calibri" w:hAnsi="Calibri" w:eastAsia="Calibri" w:cs="Calibri"/>
          <w:color w:val="000000" w:themeColor="text1"/>
          <w:sz w:val="22"/>
          <w:szCs w:val="22"/>
        </w:rPr>
      </w:pPr>
    </w:p>
    <w:p w:rsidR="00193B2C" w:rsidP="3B2478DA" w:rsidRDefault="3775DBF4" w14:paraId="0DA8334E" w14:textId="6AC7A203">
      <w:pPr>
        <w:shd w:val="clear" w:color="auto" w:fill="FFFFFF" w:themeFill="background1"/>
        <w:spacing w:before="240" w:after="240"/>
        <w:rPr>
          <w:rFonts w:ascii="Segoe UI" w:hAnsi="Segoe UI" w:eastAsia="Segoe UI" w:cs="Segoe UI"/>
          <w:color w:val="080808"/>
        </w:rPr>
      </w:pPr>
      <w:r>
        <w:rPr>
          <w:noProof/>
        </w:rPr>
        <w:drawing>
          <wp:inline distT="0" distB="0" distL="0" distR="0" wp14:anchorId="062B72DC" wp14:editId="34298A7B">
            <wp:extent cx="5943600" cy="3209925"/>
            <wp:effectExtent l="0" t="0" r="0" b="0"/>
            <wp:docPr id="195706117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061173" name=""/>
                    <pic:cNvPicPr/>
                  </pic:nvPicPr>
                  <pic:blipFill>
                    <a:blip r:embed="rId10">
                      <a:extLst>
                        <a:ext uri="{28A0092B-C50C-407E-A947-70E740481C1C}">
                          <a14:useLocalDpi xmlns:a14="http://schemas.microsoft.com/office/drawing/2010/main" val="0"/>
                        </a:ext>
                      </a:extLst>
                    </a:blip>
                    <a:stretch>
                      <a:fillRect/>
                    </a:stretch>
                  </pic:blipFill>
                  <pic:spPr>
                    <a:xfrm>
                      <a:off x="0" y="0"/>
                      <a:ext cx="5943600" cy="3209925"/>
                    </a:xfrm>
                    <a:prstGeom prst="rect">
                      <a:avLst/>
                    </a:prstGeom>
                  </pic:spPr>
                </pic:pic>
              </a:graphicData>
            </a:graphic>
          </wp:inline>
        </w:drawing>
      </w:r>
    </w:p>
    <w:p w:rsidR="00193B2C" w:rsidP="3B2478DA" w:rsidRDefault="3775DBF4" w14:paraId="36200F28" w14:textId="319E5D0E">
      <w:pPr>
        <w:shd w:val="clear" w:color="auto" w:fill="FFFFFF" w:themeFill="background1"/>
        <w:spacing w:after="0"/>
        <w:rPr>
          <w:rFonts w:ascii="Calibri" w:hAnsi="Calibri" w:eastAsia="Calibri" w:cs="Calibri"/>
          <w:color w:val="000000" w:themeColor="text1"/>
          <w:sz w:val="22"/>
          <w:szCs w:val="22"/>
        </w:rPr>
      </w:pPr>
      <w:r>
        <w:rPr>
          <w:noProof/>
        </w:rPr>
        <w:drawing>
          <wp:inline distT="0" distB="0" distL="0" distR="0" wp14:anchorId="1C9516EC" wp14:editId="7D39B272">
            <wp:extent cx="933450" cy="5943600"/>
            <wp:effectExtent l="0" t="0" r="0" b="0"/>
            <wp:docPr id="31054803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548036" name=""/>
                    <pic:cNvPicPr/>
                  </pic:nvPicPr>
                  <pic:blipFill>
                    <a:blip r:embed="rId11">
                      <a:extLst>
                        <a:ext uri="{28A0092B-C50C-407E-A947-70E740481C1C}">
                          <a14:useLocalDpi xmlns:a14="http://schemas.microsoft.com/office/drawing/2010/main" val="0"/>
                        </a:ext>
                      </a:extLst>
                    </a:blip>
                    <a:stretch>
                      <a:fillRect/>
                    </a:stretch>
                  </pic:blipFill>
                  <pic:spPr>
                    <a:xfrm>
                      <a:off x="0" y="0"/>
                      <a:ext cx="933450" cy="5943600"/>
                    </a:xfrm>
                    <a:prstGeom prst="rect">
                      <a:avLst/>
                    </a:prstGeom>
                  </pic:spPr>
                </pic:pic>
              </a:graphicData>
            </a:graphic>
          </wp:inline>
        </w:drawing>
      </w:r>
    </w:p>
    <w:p w:rsidR="00193B2C" w:rsidP="3B2478DA" w:rsidRDefault="00193B2C" w14:paraId="3ED99FA7" w14:textId="2D218412">
      <w:pPr>
        <w:shd w:val="clear" w:color="auto" w:fill="FFFFFF" w:themeFill="background1"/>
        <w:spacing w:after="0"/>
        <w:rPr>
          <w:rFonts w:ascii="Aptos" w:hAnsi="Aptos" w:eastAsia="Aptos" w:cs="Aptos"/>
          <w:color w:val="000000" w:themeColor="text1"/>
        </w:rPr>
      </w:pPr>
    </w:p>
    <w:p w:rsidR="00193B2C" w:rsidP="3B2478DA" w:rsidRDefault="00193B2C" w14:paraId="1417024E" w14:textId="3EFB3EA5">
      <w:pPr>
        <w:shd w:val="clear" w:color="auto" w:fill="FFFFFF" w:themeFill="background1"/>
        <w:spacing w:after="0"/>
        <w:rPr>
          <w:rFonts w:ascii="Aptos" w:hAnsi="Aptos" w:eastAsia="Aptos" w:cs="Aptos"/>
          <w:color w:val="000000" w:themeColor="text1"/>
        </w:rPr>
      </w:pPr>
    </w:p>
    <w:p w:rsidR="00193B2C" w:rsidP="3B2478DA" w:rsidRDefault="3775DBF4" w14:paraId="3D2D1117" w14:textId="7A02F964">
      <w:pPr>
        <w:shd w:val="clear" w:color="auto" w:fill="FFFFFF" w:themeFill="background1"/>
        <w:spacing w:after="0"/>
        <w:rPr>
          <w:rFonts w:ascii="Calibri" w:hAnsi="Calibri" w:eastAsia="Calibri" w:cs="Calibri"/>
          <w:color w:val="000000" w:themeColor="text1"/>
          <w:sz w:val="22"/>
          <w:szCs w:val="22"/>
        </w:rPr>
      </w:pPr>
      <w:r>
        <w:rPr>
          <w:noProof/>
        </w:rPr>
        <w:drawing>
          <wp:inline distT="0" distB="0" distL="0" distR="0" wp14:anchorId="6DBC9C20" wp14:editId="6EBA01A7">
            <wp:extent cx="3343275" cy="5943600"/>
            <wp:effectExtent l="0" t="0" r="0" b="0"/>
            <wp:docPr id="19328873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88738" name=""/>
                    <pic:cNvPicPr/>
                  </pic:nvPicPr>
                  <pic:blipFill>
                    <a:blip r:embed="rId12">
                      <a:extLst>
                        <a:ext uri="{28A0092B-C50C-407E-A947-70E740481C1C}">
                          <a14:useLocalDpi xmlns:a14="http://schemas.microsoft.com/office/drawing/2010/main" val="0"/>
                        </a:ext>
                      </a:extLst>
                    </a:blip>
                    <a:stretch>
                      <a:fillRect/>
                    </a:stretch>
                  </pic:blipFill>
                  <pic:spPr>
                    <a:xfrm>
                      <a:off x="0" y="0"/>
                      <a:ext cx="3343275" cy="5943600"/>
                    </a:xfrm>
                    <a:prstGeom prst="rect">
                      <a:avLst/>
                    </a:prstGeom>
                  </pic:spPr>
                </pic:pic>
              </a:graphicData>
            </a:graphic>
          </wp:inline>
        </w:drawing>
      </w:r>
    </w:p>
    <w:p w:rsidR="00193B2C" w:rsidP="3B2478DA" w:rsidRDefault="00193B2C" w14:paraId="5C507768" w14:textId="36BCA4F3">
      <w:pPr>
        <w:shd w:val="clear" w:color="auto" w:fill="FFFFFF" w:themeFill="background1"/>
        <w:spacing w:after="0"/>
        <w:rPr>
          <w:rFonts w:ascii="Aptos" w:hAnsi="Aptos" w:eastAsia="Aptos" w:cs="Aptos"/>
          <w:color w:val="000000" w:themeColor="text1"/>
        </w:rPr>
      </w:pPr>
    </w:p>
    <w:p w:rsidR="00193B2C" w:rsidP="3B2478DA" w:rsidRDefault="00193B2C" w14:paraId="45E2EC61" w14:textId="42301836">
      <w:pPr>
        <w:shd w:val="clear" w:color="auto" w:fill="FFFFFF" w:themeFill="background1"/>
        <w:spacing w:after="0"/>
        <w:rPr>
          <w:rFonts w:ascii="Aptos" w:hAnsi="Aptos" w:eastAsia="Aptos" w:cs="Aptos"/>
          <w:color w:val="000000" w:themeColor="text1"/>
        </w:rPr>
      </w:pPr>
    </w:p>
    <w:p w:rsidR="00193B2C" w:rsidP="3B2478DA" w:rsidRDefault="00DC2EFD" w14:paraId="10EB784A" w14:textId="70CC67B1">
      <w:pPr>
        <w:shd w:val="clear" w:color="auto" w:fill="FFFFFF" w:themeFill="background1"/>
        <w:spacing w:after="0"/>
        <w:rPr>
          <w:rFonts w:ascii="Calibri" w:hAnsi="Calibri" w:eastAsia="Calibri" w:cs="Calibri"/>
          <w:color w:val="000000" w:themeColor="text1"/>
          <w:sz w:val="22"/>
          <w:szCs w:val="22"/>
        </w:rPr>
      </w:pPr>
      <w:r>
        <w:br/>
      </w:r>
    </w:p>
    <w:p w:rsidR="00193B2C" w:rsidP="3B2478DA" w:rsidRDefault="00193B2C" w14:paraId="0001953F" w14:textId="3EA03762">
      <w:pPr>
        <w:shd w:val="clear" w:color="auto" w:fill="FFFFFF" w:themeFill="background1"/>
        <w:spacing w:after="0"/>
        <w:rPr>
          <w:rFonts w:ascii="Aptos" w:hAnsi="Aptos" w:eastAsia="Aptos" w:cs="Aptos"/>
          <w:color w:val="000000" w:themeColor="text1"/>
          <w:sz w:val="28"/>
          <w:szCs w:val="28"/>
        </w:rPr>
      </w:pPr>
    </w:p>
    <w:p w:rsidR="00193B2C" w:rsidP="3B2478DA" w:rsidRDefault="00193B2C" w14:paraId="2E684EB2" w14:textId="56B06E2A">
      <w:pPr>
        <w:rPr>
          <w:rFonts w:ascii="Calibri" w:hAnsi="Calibri" w:eastAsia="Calibri" w:cs="Calibri"/>
          <w:color w:val="000000" w:themeColor="text1"/>
          <w:sz w:val="28"/>
          <w:szCs w:val="28"/>
        </w:rPr>
      </w:pPr>
    </w:p>
    <w:p w:rsidR="00193B2C" w:rsidP="3B2478DA" w:rsidRDefault="00193B2C" w14:paraId="652F02FE" w14:textId="15335724">
      <w:pPr>
        <w:rPr>
          <w:rFonts w:ascii="Calibri" w:hAnsi="Calibri" w:eastAsia="Calibri" w:cs="Calibri"/>
          <w:color w:val="000000" w:themeColor="text1"/>
          <w:sz w:val="22"/>
          <w:szCs w:val="22"/>
        </w:rPr>
      </w:pPr>
    </w:p>
    <w:p w:rsidR="00193B2C" w:rsidP="3B2478DA" w:rsidRDefault="00193B2C" w14:paraId="2CF1B63A" w14:textId="20ED0F80">
      <w:pPr>
        <w:rPr>
          <w:rFonts w:ascii="Calibri" w:hAnsi="Calibri" w:eastAsia="Calibri" w:cs="Calibri"/>
          <w:color w:val="000000" w:themeColor="text1"/>
          <w:sz w:val="22"/>
          <w:szCs w:val="22"/>
        </w:rPr>
      </w:pPr>
    </w:p>
    <w:p w:rsidR="00193B2C" w:rsidP="3B2478DA" w:rsidRDefault="00193B2C" w14:paraId="5474800C" w14:textId="78BCBA23">
      <w:pPr>
        <w:rPr>
          <w:rFonts w:ascii="Calibri" w:hAnsi="Calibri" w:eastAsia="Calibri" w:cs="Calibri"/>
          <w:color w:val="000000" w:themeColor="text1"/>
          <w:sz w:val="22"/>
          <w:szCs w:val="22"/>
        </w:rPr>
      </w:pPr>
    </w:p>
    <w:p w:rsidR="00193B2C" w:rsidRDefault="00193B2C" w14:paraId="2C078E63" w14:textId="36BEA458"/>
    <w:sectPr w:rsidR="00193B2C">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785BDAA"/>
    <w:rsid w:val="00193B2C"/>
    <w:rsid w:val="00644AE3"/>
    <w:rsid w:val="00DC2EFD"/>
    <w:rsid w:val="277FB8FD"/>
    <w:rsid w:val="3775DBF4"/>
    <w:rsid w:val="3B2478DA"/>
    <w:rsid w:val="7785BDA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85BDAA"/>
  <w15:chartTrackingRefBased/>
  <w15:docId w15:val="{0EC7A1C7-02E1-4B7B-AA0D-A903BD8E6C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hyperlink" Target="mailto:CA-P-Outreach@state.gov" TargetMode="Externa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image" Target="media/image1.png" Id="rId7" /><Relationship Type="http://schemas.openxmlformats.org/officeDocument/2006/relationships/image" Target="media/image5.png"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image" Target="media/image4.png" Id="rId11" /><Relationship Type="http://schemas.openxmlformats.org/officeDocument/2006/relationships/settings" Target="settings.xml" Id="rId5" /><Relationship Type="http://schemas.openxmlformats.org/officeDocument/2006/relationships/image" Target="media/image3.png" Id="rId10" /><Relationship Type="http://schemas.openxmlformats.org/officeDocument/2006/relationships/styles" Target="styles.xml" Id="rId4" /><Relationship Type="http://schemas.openxmlformats.org/officeDocument/2006/relationships/image" Target="media/image2.png" Id="rId9" /><Relationship Type="http://schemas.openxmlformats.org/officeDocument/2006/relationships/theme" Target="theme/theme1.xml" Id="rId14"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20915f2-2334-4b57-85e6-a781b0f84680">
      <Terms xmlns="http://schemas.microsoft.com/office/infopath/2007/PartnerControls"/>
    </lcf76f155ced4ddcb4097134ff3c332f>
    <TaxCatchAll xmlns="f3984c11-d4ee-4d8b-8bb9-f73c5fee32f8" xsi:nil="true"/>
    <Directions xmlns="220915f2-2334-4b57-85e6-a781b0f8468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A644C415D405A458C3DC7992A04D46C" ma:contentTypeVersion="17" ma:contentTypeDescription="Create a new document." ma:contentTypeScope="" ma:versionID="fd62e12065834c84ab47a32893d54a80">
  <xsd:schema xmlns:xsd="http://www.w3.org/2001/XMLSchema" xmlns:xs="http://www.w3.org/2001/XMLSchema" xmlns:p="http://schemas.microsoft.com/office/2006/metadata/properties" xmlns:ns2="220915f2-2334-4b57-85e6-a781b0f84680" xmlns:ns3="f3984c11-d4ee-4d8b-8bb9-f73c5fee32f8" targetNamespace="http://schemas.microsoft.com/office/2006/metadata/properties" ma:root="true" ma:fieldsID="e068cfa6ce0b5b181ce37673c109b2a3" ns2:_="" ns3:_="">
    <xsd:import namespace="220915f2-2334-4b57-85e6-a781b0f84680"/>
    <xsd:import namespace="f3984c11-d4ee-4d8b-8bb9-f73c5fee32f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MediaServiceObjectDetectorVersions" minOccurs="0"/>
                <xsd:element ref="ns2:MediaServiceSearchProperties" minOccurs="0"/>
                <xsd:element ref="ns2:Direct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0915f2-2334-4b57-85e6-a781b0f846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0c4236b-c3ef-4727-9e6d-e99ea6baddd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Directions" ma:index="23" nillable="true" ma:displayName="Directions" ma:format="Dropdown" ma:internalName="Direction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3984c11-d4ee-4d8b-8bb9-f73c5fee32f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b6936685-3005-4cc3-a474-fcbfc03b8acc}" ma:internalName="TaxCatchAll" ma:showField="CatchAllData" ma:web="f3984c11-d4ee-4d8b-8bb9-f73c5fee32f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9488A7-90EC-45CF-A2E6-9D59DC98D4E0}">
  <ds:schemaRefs>
    <ds:schemaRef ds:uri="http://schemas.microsoft.com/office/2006/metadata/properties"/>
    <ds:schemaRef ds:uri="http://schemas.microsoft.com/office/infopath/2007/PartnerControls"/>
    <ds:schemaRef ds:uri="220915f2-2334-4b57-85e6-a781b0f84680"/>
    <ds:schemaRef ds:uri="f3984c11-d4ee-4d8b-8bb9-f73c5fee32f8"/>
  </ds:schemaRefs>
</ds:datastoreItem>
</file>

<file path=customXml/itemProps2.xml><?xml version="1.0" encoding="utf-8"?>
<ds:datastoreItem xmlns:ds="http://schemas.openxmlformats.org/officeDocument/2006/customXml" ds:itemID="{8762823F-5286-42AE-A0FC-1DE6CFE92052}">
  <ds:schemaRefs>
    <ds:schemaRef ds:uri="http://schemas.microsoft.com/sharepoint/v3/contenttype/forms"/>
  </ds:schemaRefs>
</ds:datastoreItem>
</file>

<file path=customXml/itemProps3.xml><?xml version="1.0" encoding="utf-8"?>
<ds:datastoreItem xmlns:ds="http://schemas.openxmlformats.org/officeDocument/2006/customXml" ds:itemID="{0547D5A4-5E43-4FA0-8666-A82D6DFE8E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0915f2-2334-4b57-85e6-a781b0f84680"/>
    <ds:schemaRef ds:uri="f3984c11-d4ee-4d8b-8bb9-f73c5fee32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Schimmel, Ehren</dc:creator>
  <keywords/>
  <dc:description/>
  <lastModifiedBy>Schimmel, Ehren</lastModifiedBy>
  <revision>2</revision>
  <dcterms:created xsi:type="dcterms:W3CDTF">2025-12-19T17:14:00.0000000Z</dcterms:created>
  <dcterms:modified xsi:type="dcterms:W3CDTF">2025-12-19T17:15:05.7215911Z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0x0101006A644C415D405A458C3DC7992A04D46C</vt:lpwstr>
  </property>
  <property fmtid="{D5CDD505-2E9C-101B-9397-08002B2CF9AE}" pid="3" name="MSIP_Label_1665d9ee-429a-4d5f-97cc-cfb56e044a6e_Enabled">
    <vt:lpwstr>true</vt:lpwstr>
  </property>
  <property fmtid="{D5CDD505-2E9C-101B-9397-08002B2CF9AE}" pid="4" name="MSIP_Label_1665d9ee-429a-4d5f-97cc-cfb56e044a6e_SetDate">
    <vt:lpwstr>2025-12-19T17:14:25Z</vt:lpwstr>
  </property>
  <property fmtid="{D5CDD505-2E9C-101B-9397-08002B2CF9AE}" pid="5" name="MSIP_Label_1665d9ee-429a-4d5f-97cc-cfb56e044a6e_Method">
    <vt:lpwstr>Privileged</vt:lpwstr>
  </property>
  <property fmtid="{D5CDD505-2E9C-101B-9397-08002B2CF9AE}" pid="6" name="MSIP_Label_1665d9ee-429a-4d5f-97cc-cfb56e044a6e_Name">
    <vt:lpwstr>1665d9ee-429a-4d5f-97cc-cfb56e044a6e</vt:lpwstr>
  </property>
  <property fmtid="{D5CDD505-2E9C-101B-9397-08002B2CF9AE}" pid="7" name="MSIP_Label_1665d9ee-429a-4d5f-97cc-cfb56e044a6e_SiteId">
    <vt:lpwstr>66cf5074-5afe-48d1-a691-a12b2121f44b</vt:lpwstr>
  </property>
  <property fmtid="{D5CDD505-2E9C-101B-9397-08002B2CF9AE}" pid="8" name="MSIP_Label_1665d9ee-429a-4d5f-97cc-cfb56e044a6e_ActionId">
    <vt:lpwstr>c0ca4a55-b7c1-4f71-b38a-7da8b44df3d6</vt:lpwstr>
  </property>
  <property fmtid="{D5CDD505-2E9C-101B-9397-08002B2CF9AE}" pid="9" name="MSIP_Label_1665d9ee-429a-4d5f-97cc-cfb56e044a6e_ContentBits">
    <vt:lpwstr>0</vt:lpwstr>
  </property>
  <property fmtid="{D5CDD505-2E9C-101B-9397-08002B2CF9AE}" pid="10" name="MSIP_Label_1665d9ee-429a-4d5f-97cc-cfb56e044a6e_Tag">
    <vt:lpwstr>10, 0, 1, 2</vt:lpwstr>
  </property>
  <property fmtid="{D5CDD505-2E9C-101B-9397-08002B2CF9AE}" pid="11" name="MediaServiceImageTags">
    <vt:lpwstr/>
  </property>
</Properties>
</file>